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20" w:rsidRDefault="00DC2C20" w:rsidP="00DC2C20">
      <w:pPr>
        <w:spacing w:after="0" w:line="240" w:lineRule="auto"/>
        <w:ind w:firstLine="1440"/>
        <w:jc w:val="thaiDistribute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>
        <w:rPr>
          <w:rFonts w:ascii="TH Niramit AS" w:hAnsi="TH Niramit AS" w:cs="TH Niramit AS" w:hint="cs"/>
          <w:b/>
          <w:bCs/>
          <w:smallCaps/>
          <w:noProof/>
          <w:spacing w:val="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4A76E" wp14:editId="1E680AC5">
                <wp:simplePos x="0" y="0"/>
                <wp:positionH relativeFrom="column">
                  <wp:posOffset>7101263</wp:posOffset>
                </wp:positionH>
                <wp:positionV relativeFrom="paragraph">
                  <wp:posOffset>-260779</wp:posOffset>
                </wp:positionV>
                <wp:extent cx="1698172" cy="320633"/>
                <wp:effectExtent l="0" t="0" r="16510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172" cy="320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2C20" w:rsidRPr="00985809" w:rsidRDefault="00DC2C20" w:rsidP="00DC2C20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85809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FM-WM-</w:t>
                            </w:r>
                            <w:r w:rsidRPr="00985809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559.15pt;margin-top:-20.55pt;width:133.7pt;height:2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" fillcolor="white [3201]" strokeweight=".5pt">
                <v:textbox>
                  <w:txbxContent>
                    <w:p w:rsidR="00DC2C20" w:rsidRPr="00985809" w:rsidRDefault="00DC2C20" w:rsidP="00DC2C20">
                      <w:pPr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85809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FM-WM-</w:t>
                      </w:r>
                      <w:r w:rsidRPr="00985809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</w:rPr>
      </w:pPr>
      <w:r w:rsidRPr="00F81085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>1. แบบฟอร์มวิเคราะห์</w:t>
      </w:r>
      <w:r w:rsidRPr="00F81085">
        <w:rPr>
          <w:rFonts w:ascii="TH Niramit AS" w:hAnsi="TH Niramit AS" w:cs="TH Niramit AS"/>
          <w:b/>
          <w:bCs/>
          <w:smallCaps/>
          <w:spacing w:val="5"/>
          <w:sz w:val="32"/>
          <w:szCs w:val="32"/>
          <w:cs/>
        </w:rPr>
        <w:t>ระบบงานและกระบวนการสร้างคุณค่า/สมรรถนะ</w:t>
      </w:r>
      <w:r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 xml:space="preserve">    </w:t>
      </w:r>
      <w:r w:rsidRPr="00F81085">
        <w:rPr>
          <w:rFonts w:ascii="TH Niramit AS" w:hAnsi="TH Niramit AS" w:cs="TH Niramit AS"/>
          <w:b/>
          <w:bCs/>
          <w:smallCaps/>
          <w:spacing w:val="5"/>
          <w:sz w:val="32"/>
          <w:szCs w:val="32"/>
          <w:cs/>
        </w:rPr>
        <w:t>กระบวนการสนับสนุนที่สำคัญ รวมทั้งผู้รับผิดชอบ</w:t>
      </w:r>
    </w:p>
    <w:p w:rsidR="00DC2C20" w:rsidRPr="00F81085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90"/>
        <w:gridCol w:w="1436"/>
        <w:gridCol w:w="2922"/>
        <w:gridCol w:w="1723"/>
        <w:gridCol w:w="1378"/>
        <w:gridCol w:w="337"/>
        <w:gridCol w:w="2414"/>
        <w:gridCol w:w="1376"/>
      </w:tblGrid>
      <w:tr w:rsidR="00DC2C20" w:rsidRPr="004512C3" w:rsidTr="002A01F8">
        <w:trPr>
          <w:trHeight w:val="444"/>
          <w:tblHeader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พันธกิจ</w:t>
            </w:r>
          </w:p>
        </w:tc>
        <w:tc>
          <w:tcPr>
            <w:tcW w:w="545" w:type="pct"/>
            <w:tcBorders>
              <w:top w:val="single" w:sz="12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ระบบงาน</w:t>
            </w:r>
          </w:p>
        </w:tc>
        <w:tc>
          <w:tcPr>
            <w:tcW w:w="1109" w:type="pct"/>
            <w:tcBorders>
              <w:top w:val="single" w:sz="12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กระบวนการสร้างคุณค่า</w:t>
            </w:r>
          </w:p>
        </w:tc>
        <w:tc>
          <w:tcPr>
            <w:tcW w:w="654" w:type="pct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สมรรถนะ</w:t>
            </w:r>
          </w:p>
        </w:tc>
        <w:tc>
          <w:tcPr>
            <w:tcW w:w="128" w:type="pct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C2C20" w:rsidRPr="00DB5C30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DB5C30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กระบวนการสนับสนุน</w:t>
            </w:r>
          </w:p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DB5C30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ที่สำคัญ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DB5C30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</w:tr>
      <w:tr w:rsidR="00DC2C20" w:rsidRPr="004512C3" w:rsidTr="002A01F8">
        <w:trPr>
          <w:trHeight w:val="456"/>
        </w:trPr>
        <w:tc>
          <w:tcPr>
            <w:tcW w:w="603" w:type="pct"/>
            <w:vMerge w:val="restart"/>
            <w:tcBorders>
              <w:top w:val="double" w:sz="6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double" w:sz="6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1. </w:t>
            </w:r>
          </w:p>
        </w:tc>
        <w:tc>
          <w:tcPr>
            <w:tcW w:w="654" w:type="pct"/>
            <w:tcBorders>
              <w:top w:val="double" w:sz="6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523" w:type="pct"/>
            <w:vMerge w:val="restart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vMerge/>
            <w:tcBorders>
              <w:top w:val="double" w:sz="6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2. </w:t>
            </w:r>
          </w:p>
        </w:tc>
        <w:tc>
          <w:tcPr>
            <w:tcW w:w="654" w:type="pct"/>
            <w:tcBorders>
              <w:top w:val="dashed" w:sz="4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3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vMerge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3. </w:t>
            </w:r>
          </w:p>
        </w:tc>
        <w:tc>
          <w:tcPr>
            <w:tcW w:w="654" w:type="pct"/>
            <w:tcBorders>
              <w:top w:val="dashed" w:sz="4" w:space="0" w:color="auto"/>
              <w:left w:val="nil"/>
              <w:bottom w:val="dashSmallGap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3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4.</w:t>
            </w:r>
          </w:p>
        </w:tc>
        <w:tc>
          <w:tcPr>
            <w:tcW w:w="654" w:type="pct"/>
            <w:tcBorders>
              <w:top w:val="dashSmallGap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5.</w:t>
            </w:r>
          </w:p>
        </w:tc>
        <w:tc>
          <w:tcPr>
            <w:tcW w:w="654" w:type="pct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3" w:type="pct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6.</w:t>
            </w:r>
          </w:p>
        </w:tc>
        <w:tc>
          <w:tcPr>
            <w:tcW w:w="654" w:type="pct"/>
            <w:tcBorders>
              <w:top w:val="dashSmallGap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3" w:type="pct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7.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523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603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8.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523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876"/>
        </w:trPr>
        <w:tc>
          <w:tcPr>
            <w:tcW w:w="603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10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9.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523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128" w:type="pct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</w:tbl>
    <w:p w:rsidR="00DC2C20" w:rsidRDefault="00DC2C20" w:rsidP="00DC2C20">
      <w:pPr>
        <w:spacing w:after="0" w:line="240" w:lineRule="auto"/>
        <w:ind w:firstLine="1440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DC2C20" w:rsidRDefault="00DC2C20" w:rsidP="00DC2C20">
      <w:pPr>
        <w:spacing w:after="0" w:line="240" w:lineRule="auto"/>
        <w:ind w:firstLine="1440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DC2C20" w:rsidRDefault="00DC2C20" w:rsidP="00DC2C20">
      <w:pPr>
        <w:spacing w:after="0" w:line="240" w:lineRule="auto"/>
        <w:ind w:firstLine="1440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C63E1A" w:rsidRDefault="00C63E1A">
      <w:pPr>
        <w:rPr>
          <w:rFonts w:hint="cs"/>
        </w:rPr>
      </w:pPr>
    </w:p>
    <w:p w:rsidR="00DC2C20" w:rsidRDefault="00DC2C20">
      <w:pPr>
        <w:rPr>
          <w:rFonts w:hint="cs"/>
        </w:rPr>
      </w:pPr>
    </w:p>
    <w:p w:rsidR="00DC2C20" w:rsidRDefault="00DC2C20">
      <w:pPr>
        <w:rPr>
          <w:rFonts w:hint="cs"/>
        </w:rPr>
      </w:pPr>
    </w:p>
    <w:p w:rsidR="00DC2C20" w:rsidRPr="00B50601" w:rsidRDefault="00DC2C20" w:rsidP="00DC2C20">
      <w:pPr>
        <w:spacing w:after="0" w:line="240" w:lineRule="auto"/>
        <w:jc w:val="center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 w:rsidRPr="00B50601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 xml:space="preserve">ตัวอย่าง </w:t>
      </w:r>
      <w:r w:rsidRPr="00B50601">
        <w:rPr>
          <w:rFonts w:ascii="TH Niramit AS" w:hAnsi="TH Niramit AS" w:cs="TH Niramit AS"/>
          <w:b/>
          <w:bCs/>
          <w:smallCaps/>
          <w:spacing w:val="5"/>
          <w:sz w:val="32"/>
          <w:szCs w:val="32"/>
          <w:cs/>
        </w:rPr>
        <w:t>ระบบงาน กระบวนการสร้างคุณค่า สมรรถนะหลัก และผู้รับผิดชอบ</w:t>
      </w:r>
      <w:r w:rsidRPr="00B50601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 xml:space="preserve"> ระดับมหาวิทยาลัย</w:t>
      </w:r>
      <w:r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 xml:space="preserve"> ปีงบประมาณ พ.ศ. 2561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09"/>
        <w:gridCol w:w="1992"/>
        <w:gridCol w:w="4058"/>
        <w:gridCol w:w="2395"/>
        <w:gridCol w:w="2522"/>
      </w:tblGrid>
      <w:tr w:rsidR="00DC2C20" w:rsidRPr="004512C3" w:rsidTr="002A01F8">
        <w:trPr>
          <w:trHeight w:val="444"/>
          <w:tblHeader/>
        </w:trPr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พันธกิจ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ระบบงาน</w:t>
            </w:r>
          </w:p>
        </w:tc>
        <w:tc>
          <w:tcPr>
            <w:tcW w:w="1540" w:type="pct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กระบวนการสร้างคุณค่า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957" w:type="pct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สมรรถนะ</w:t>
            </w:r>
          </w:p>
        </w:tc>
      </w:tr>
      <w:tr w:rsidR="00DC2C20" w:rsidRPr="004512C3" w:rsidTr="002A01F8">
        <w:trPr>
          <w:trHeight w:val="456"/>
        </w:trPr>
        <w:tc>
          <w:tcPr>
            <w:tcW w:w="838" w:type="pct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eastAsia="Times New Roman" w:hAnsi="TH Niramit AS" w:cs="TH Niramit AS" w:hint="cs"/>
                <w:b/>
                <w:bCs/>
                <w:sz w:val="26"/>
                <w:szCs w:val="26"/>
                <w:cs/>
              </w:rPr>
              <w:t>จัด</w:t>
            </w: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756" w:type="pct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การผลิตบัณฑิต</w:t>
            </w:r>
          </w:p>
        </w:tc>
        <w:tc>
          <w:tcPr>
            <w:tcW w:w="1540" w:type="pct"/>
            <w:tcBorders>
              <w:top w:val="double" w:sz="6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1.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กระบวนการพัฒนาและปรับปรุงหลักสูตร</w:t>
            </w:r>
          </w:p>
        </w:tc>
        <w:tc>
          <w:tcPr>
            <w:tcW w:w="909" w:type="pct"/>
            <w:tcBorders>
              <w:top w:val="double" w:sz="6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กองบริการการศึกษา</w:t>
            </w:r>
          </w:p>
        </w:tc>
        <w:tc>
          <w:tcPr>
            <w:tcW w:w="957" w:type="pct"/>
            <w:vMerge w:val="restart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ความเชี่ยวชาญด้านการจัดการเรียน</w:t>
            </w:r>
          </w:p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การสอนที่เน้นองค์ความรู้สู่ท้องถิ่น</w:t>
            </w: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2.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กระบวนการรับนักศึกษา</w:t>
            </w:r>
          </w:p>
        </w:tc>
        <w:tc>
          <w:tcPr>
            <w:tcW w:w="909" w:type="pct"/>
            <w:tcBorders>
              <w:top w:val="dashed" w:sz="4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กองบริการการศึกษา</w:t>
            </w: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3.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กระบวนการจัดการเรียนการสอน</w:t>
            </w:r>
          </w:p>
        </w:tc>
        <w:tc>
          <w:tcPr>
            <w:tcW w:w="909" w:type="pct"/>
            <w:tcBorders>
              <w:top w:val="dashed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กองบริการการศึกษา</w:t>
            </w: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4.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กระบวนการพัฒนานักศึกษา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กองพัฒนานักศึกษา</w:t>
            </w: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5.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กระบวนการติดตามและประเมินผลการผลิตบัณฑิต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กองบริการการศึกษา</w:t>
            </w: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วิจัย</w:t>
            </w:r>
          </w:p>
        </w:tc>
        <w:tc>
          <w:tcPr>
            <w:tcW w:w="7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การวิจัย</w:t>
            </w:r>
          </w:p>
        </w:tc>
        <w:tc>
          <w:tcPr>
            <w:tcW w:w="1540" w:type="pct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6.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กระบวนการผลิตผลงานวิจัย</w:t>
            </w:r>
          </w:p>
        </w:tc>
        <w:tc>
          <w:tcPr>
            <w:tcW w:w="909" w:type="pct"/>
            <w:vMerge w:val="restart"/>
            <w:tcBorders>
              <w:top w:val="single" w:sz="8" w:space="0" w:color="auto"/>
              <w:left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สถาบันวิจัยและพัฒนา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ความเชี่ยวชาญด้านการวิจัยสู่ท้องถิ่น</w:t>
            </w: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7.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กระบวนการเผยแพร่งานวิจัย</w:t>
            </w:r>
          </w:p>
        </w:tc>
        <w:tc>
          <w:tcPr>
            <w:tcW w:w="909" w:type="pct"/>
            <w:vMerge/>
            <w:tcBorders>
              <w:left w:val="nil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57" w:type="pct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540" w:type="pct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8.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กระบวนการคุ้มครองสิทธิ์</w:t>
            </w:r>
          </w:p>
        </w:tc>
        <w:tc>
          <w:tcPr>
            <w:tcW w:w="909" w:type="pct"/>
            <w:vMerge/>
            <w:tcBorders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</w:tc>
      </w:tr>
      <w:tr w:rsidR="00DC2C20" w:rsidRPr="004512C3" w:rsidTr="002A01F8">
        <w:trPr>
          <w:trHeight w:val="444"/>
        </w:trPr>
        <w:tc>
          <w:tcPr>
            <w:tcW w:w="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บริการวิชาการ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การบริการวิชาการ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9.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กระบวนการบริการวิชาการ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สถาบันวิจัยและพัฒนา</w:t>
            </w:r>
          </w:p>
        </w:tc>
        <w:tc>
          <w:tcPr>
            <w:tcW w:w="957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ความเชี่ยวชาญด้านการบริการวิชาการแก่ชุมชนและท้องถิ่น</w:t>
            </w:r>
          </w:p>
        </w:tc>
      </w:tr>
      <w:tr w:rsidR="00DC2C20" w:rsidRPr="004512C3" w:rsidTr="002A01F8">
        <w:trPr>
          <w:trHeight w:val="876"/>
        </w:trPr>
        <w:tc>
          <w:tcPr>
            <w:tcW w:w="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ทำนุบำรุงศิลปวัฒนธรรม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b/>
                <w:bCs/>
                <w:sz w:val="26"/>
                <w:szCs w:val="26"/>
                <w:cs/>
              </w:rPr>
              <w:t>การทำนุบำรุงศิลปวัฒนธรรม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2C20" w:rsidRPr="004512C3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10. </w:t>
            </w: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กระบวนการทำนุบำรุงศิลปวัฒนธรรม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สำนักศิลปะและวัฒนธรรม</w:t>
            </w:r>
          </w:p>
        </w:tc>
        <w:tc>
          <w:tcPr>
            <w:tcW w:w="957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2C20" w:rsidRPr="004512C3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4512C3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ความเชี่ยวชาญด้านการทำนุบำรุงศิลปวัฒนธรรม</w:t>
            </w:r>
          </w:p>
        </w:tc>
      </w:tr>
    </w:tbl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Pr="00B50601" w:rsidRDefault="00DC2C20" w:rsidP="00DC2C20">
      <w:pPr>
        <w:spacing w:after="0" w:line="240" w:lineRule="auto"/>
        <w:jc w:val="center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ตัวอย่าง </w:t>
      </w:r>
      <w:r w:rsidRPr="004C2935">
        <w:rPr>
          <w:rFonts w:ascii="TH Niramit AS" w:hAnsi="TH Niramit AS" w:cs="TH Niramit AS"/>
          <w:b/>
          <w:bCs/>
          <w:sz w:val="32"/>
          <w:szCs w:val="32"/>
          <w:cs/>
        </w:rPr>
        <w:t>กระบวนการสนับสนุนที่สำคัญและผู้รับผิดชอบ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ระดับมหาวิทยาลัย </w:t>
      </w:r>
      <w:r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>ปีงบประมาณ พ.ศ. 2561</w:t>
      </w:r>
    </w:p>
    <w:p w:rsidR="00DC2C20" w:rsidRPr="007A56FB" w:rsidRDefault="00DC2C20" w:rsidP="00DC2C20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09"/>
        <w:gridCol w:w="5067"/>
      </w:tblGrid>
      <w:tr w:rsidR="00DC2C20" w:rsidRPr="004C2935" w:rsidTr="002A01F8">
        <w:trPr>
          <w:trHeight w:val="432"/>
          <w:tblHeader/>
          <w:jc w:val="center"/>
        </w:trPr>
        <w:tc>
          <w:tcPr>
            <w:tcW w:w="3077" w:type="pct"/>
            <w:shd w:val="clear" w:color="000000" w:fill="D9D9D9"/>
            <w:noWrap/>
            <w:vAlign w:val="center"/>
            <w:hideMark/>
          </w:tcPr>
          <w:p w:rsidR="00DC2C20" w:rsidRPr="004C2935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30"/>
                <w:szCs w:val="30"/>
                <w:cs/>
              </w:rPr>
              <w:t>กระบวนการสนับสนุนที่สำคัญ</w:t>
            </w:r>
          </w:p>
        </w:tc>
        <w:tc>
          <w:tcPr>
            <w:tcW w:w="1923" w:type="pct"/>
            <w:shd w:val="clear" w:color="000000" w:fill="D9D9D9"/>
            <w:noWrap/>
            <w:vAlign w:val="center"/>
            <w:hideMark/>
          </w:tcPr>
          <w:p w:rsidR="00DC2C20" w:rsidRPr="004C2935" w:rsidRDefault="00DC2C20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1.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กระบวนการบริหารพัสดุ</w:t>
            </w:r>
          </w:p>
        </w:tc>
        <w:tc>
          <w:tcPr>
            <w:tcW w:w="1923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กองคลัง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2.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กระบวนการบริหารงบประมาณ</w:t>
            </w:r>
          </w:p>
        </w:tc>
        <w:tc>
          <w:tcPr>
            <w:tcW w:w="1923" w:type="pct"/>
            <w:shd w:val="clear" w:color="000000" w:fill="FFFFFF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กองนโยบายและแผน</w:t>
            </w:r>
            <w:r>
              <w:rPr>
                <w:rFonts w:ascii="TH Niramit AS" w:eastAsia="Times New Roman" w:hAnsi="TH Niramit AS" w:cs="TH Niramit AS" w:hint="cs"/>
                <w:sz w:val="30"/>
                <w:szCs w:val="30"/>
                <w:cs/>
              </w:rPr>
              <w:t>และ</w:t>
            </w:r>
            <w:r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กองคลัง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3.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กระบวนการประชาสัมพันธ์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กองกลาง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4.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กระบวนการธุรการสารบรรณ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กองกลาง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5.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กระบวนการบริหารทรัพยากรบุคคล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กองบริหารงานบุคคล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6.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กระบวนการจัดทำยุทธศาสตร์และแผนปฏิบัติการประจำปี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กองนโยบายและแผน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7.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กระบวนการประกันคุณภาพการศึกษาภายใน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กองนโยบายและแผน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8.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กระบวนการจัดการความรู้เพื่อพัฒนาองค์กร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กองนโยบายและแผน</w:t>
            </w:r>
          </w:p>
        </w:tc>
      </w:tr>
      <w:tr w:rsidR="00DC2C20" w:rsidRPr="004C2935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  <w:hideMark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</w:rPr>
              <w:t xml:space="preserve">9. </w:t>
            </w: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กระบวนการพัฒนาเทคโนโลยีสารสนเทศ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4C2935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</w:rPr>
            </w:pPr>
            <w:r w:rsidRPr="004C2935"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  <w:t>สำนักวิทยบริการและเทคโนโลยีสารสนเทศ</w:t>
            </w:r>
          </w:p>
        </w:tc>
      </w:tr>
      <w:tr w:rsidR="00DC2C20" w:rsidRPr="0090628F" w:rsidTr="002A01F8">
        <w:trPr>
          <w:trHeight w:val="432"/>
          <w:jc w:val="center"/>
        </w:trPr>
        <w:tc>
          <w:tcPr>
            <w:tcW w:w="3077" w:type="pct"/>
            <w:shd w:val="clear" w:color="000000" w:fill="FFFFFF"/>
            <w:noWrap/>
          </w:tcPr>
          <w:p w:rsidR="00DC2C20" w:rsidRPr="0090628F" w:rsidRDefault="00DC2C20" w:rsidP="002A01F8">
            <w:pPr>
              <w:pStyle w:val="Default"/>
              <w:rPr>
                <w:rFonts w:eastAsia="Times New Roman"/>
                <w:color w:val="auto"/>
                <w:sz w:val="30"/>
                <w:szCs w:val="30"/>
              </w:rPr>
            </w:pPr>
            <w:r w:rsidRPr="0090628F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10. </w:t>
            </w:r>
            <w:r w:rsidRPr="0090628F">
              <w:rPr>
                <w:rFonts w:eastAsia="Times New Roman"/>
                <w:color w:val="auto"/>
                <w:sz w:val="30"/>
                <w:szCs w:val="30"/>
                <w:cs/>
              </w:rPr>
              <w:t>กระบวนการ</w:t>
            </w:r>
            <w:r w:rsidRPr="0090628F">
              <w:rPr>
                <w:rFonts w:eastAsia="Times New Roman" w:hint="cs"/>
                <w:color w:val="auto"/>
                <w:sz w:val="30"/>
                <w:szCs w:val="30"/>
                <w:cs/>
              </w:rPr>
              <w:t>ให้</w:t>
            </w:r>
            <w:r w:rsidRPr="0090628F">
              <w:rPr>
                <w:rFonts w:eastAsia="Times New Roman"/>
                <w:color w:val="auto"/>
                <w:sz w:val="30"/>
                <w:szCs w:val="30"/>
                <w:cs/>
              </w:rPr>
              <w:t>บริการ</w:t>
            </w:r>
            <w:r w:rsidRPr="0090628F">
              <w:rPr>
                <w:rFonts w:eastAsia="Times New Roman"/>
                <w:color w:val="auto"/>
                <w:sz w:val="30"/>
                <w:szCs w:val="30"/>
              </w:rPr>
              <w:t xml:space="preserve"> One Stop Service</w:t>
            </w:r>
            <w:r w:rsidRPr="0090628F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23" w:type="pct"/>
            <w:shd w:val="clear" w:color="auto" w:fill="auto"/>
            <w:noWrap/>
          </w:tcPr>
          <w:p w:rsidR="00DC2C20" w:rsidRPr="0090628F" w:rsidRDefault="00DC2C20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30"/>
                <w:szCs w:val="30"/>
                <w:cs/>
              </w:rPr>
            </w:pPr>
            <w:r w:rsidRPr="0090628F">
              <w:rPr>
                <w:rFonts w:ascii="TH Niramit AS" w:eastAsia="Times New Roman" w:hAnsi="TH Niramit AS" w:cs="TH Niramit AS" w:hint="cs"/>
                <w:sz w:val="30"/>
                <w:szCs w:val="30"/>
                <w:cs/>
              </w:rPr>
              <w:t>กองบริการการศึกษา, กองคลัง, และกองกลาง</w:t>
            </w:r>
          </w:p>
        </w:tc>
      </w:tr>
    </w:tbl>
    <w:p w:rsidR="00DC2C20" w:rsidRPr="00793EEC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C2C20" w:rsidRPr="00B50601" w:rsidRDefault="00DC2C20" w:rsidP="00DC2C20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50601">
        <w:rPr>
          <w:rFonts w:ascii="TH Niramit AS" w:hAnsi="TH Niramit AS" w:cs="TH Niramit AS" w:hint="cs"/>
          <w:b/>
          <w:bCs/>
          <w:sz w:val="32"/>
          <w:szCs w:val="32"/>
          <w:cs/>
        </w:rPr>
        <w:t>โดยใช้</w:t>
      </w:r>
      <w:r w:rsidRPr="00B50601">
        <w:rPr>
          <w:rFonts w:ascii="TH Niramit AS" w:hAnsi="TH Niramit AS" w:cs="TH Niramit AS"/>
          <w:b/>
          <w:bCs/>
          <w:sz w:val="32"/>
          <w:szCs w:val="32"/>
          <w:cs/>
        </w:rPr>
        <w:t>เกณฑ์</w:t>
      </w:r>
      <w:r w:rsidRPr="00B50601">
        <w:rPr>
          <w:rFonts w:ascii="TH Niramit AS" w:hAnsi="TH Niramit AS" w:cs="TH Niramit AS" w:hint="cs"/>
          <w:b/>
          <w:bCs/>
          <w:sz w:val="32"/>
          <w:szCs w:val="32"/>
          <w:cs/>
        </w:rPr>
        <w:t>การ</w:t>
      </w:r>
      <w:r w:rsidRPr="00B50601">
        <w:rPr>
          <w:rFonts w:ascii="TH Niramit AS" w:hAnsi="TH Niramit AS" w:cs="TH Niramit AS"/>
          <w:b/>
          <w:bCs/>
          <w:sz w:val="32"/>
          <w:szCs w:val="32"/>
          <w:cs/>
        </w:rPr>
        <w:t>พิจารณา</w:t>
      </w:r>
      <w:r w:rsidRPr="00B5060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ดังนี้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A3282">
        <w:rPr>
          <w:rFonts w:ascii="TH Niramit AS" w:hAnsi="TH Niramit AS" w:cs="TH Niramit AS"/>
          <w:b/>
          <w:bCs/>
          <w:sz w:val="32"/>
          <w:szCs w:val="32"/>
          <w:cs/>
        </w:rPr>
        <w:t>1. เกณฑ์การพิจารณากำหนดระบบงาน</w:t>
      </w:r>
    </w:p>
    <w:p w:rsidR="00DC2C20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    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2A3282">
        <w:rPr>
          <w:rFonts w:ascii="TH Niramit AS" w:hAnsi="TH Niramit AS" w:cs="TH Niramit AS"/>
          <w:sz w:val="32"/>
          <w:szCs w:val="32"/>
          <w:cs/>
        </w:rPr>
        <w:t xml:space="preserve">1.1 สอดคล้องกับพันธกิจของมหาวิทยาลัย 4 ด้าน คือ 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1) ผลิตบัณฑิต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2A3282">
        <w:rPr>
          <w:rFonts w:ascii="TH Niramit AS" w:hAnsi="TH Niramit AS" w:cs="TH Niramit AS"/>
          <w:sz w:val="32"/>
          <w:szCs w:val="32"/>
          <w:cs/>
        </w:rPr>
        <w:t xml:space="preserve">2) วิจัย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2A3282">
        <w:rPr>
          <w:rFonts w:ascii="TH Niramit AS" w:hAnsi="TH Niramit AS" w:cs="TH Niramit AS"/>
          <w:sz w:val="32"/>
          <w:szCs w:val="32"/>
          <w:cs/>
        </w:rPr>
        <w:t xml:space="preserve">3) บริการวิชาการ </w:t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2A3282">
        <w:rPr>
          <w:rFonts w:ascii="TH Niramit AS" w:hAnsi="TH Niramit AS" w:cs="TH Niramit AS"/>
          <w:sz w:val="32"/>
          <w:szCs w:val="32"/>
          <w:cs/>
        </w:rPr>
        <w:t>4) ทำนุบำรุงศิลปวัฒนธรรม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  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2A3282">
        <w:rPr>
          <w:rFonts w:ascii="TH Niramit AS" w:hAnsi="TH Niramit AS" w:cs="TH Niramit AS"/>
          <w:sz w:val="32"/>
          <w:szCs w:val="32"/>
          <w:cs/>
        </w:rPr>
        <w:t xml:space="preserve">1.2 สัมพันธ์กับสมรรถนะหลักองค์กร 4 ด้าน คือ 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1) ความเชี่ยวชาญด้านการจัดการเรียนการสอนที่เน้นองค์ความรู้สู่ท้องถิ่น 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>2) ความเชี่ยวชาญด้านการวิจัยสู่ท้องถิ่น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>3) ความเชี่ยวชาญด้านการบริการวิชาการแก่ชุมชนและท้องถิ่น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>4) ความเชี่ยวชาญด้านการทำนุบำรุงศิลปะวัฒนธรรม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A3282">
        <w:rPr>
          <w:rFonts w:ascii="TH Niramit AS" w:hAnsi="TH Niramit AS" w:cs="TH Niramit AS"/>
          <w:b/>
          <w:bCs/>
          <w:sz w:val="32"/>
          <w:szCs w:val="32"/>
          <w:cs/>
        </w:rPr>
        <w:t>2.เกณฑ์การเลือกกระบวนการที่สร้างคุณค่า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ab/>
      </w:r>
      <w:r w:rsidRPr="002A3282">
        <w:rPr>
          <w:rFonts w:ascii="TH Niramit AS" w:hAnsi="TH Niramit AS" w:cs="TH Niramit AS"/>
          <w:sz w:val="32"/>
          <w:szCs w:val="32"/>
          <w:cs/>
        </w:rPr>
        <w:tab/>
        <w:t xml:space="preserve">    สอดคล้องกับระบบงานของมหาวิทยาลัย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ab/>
      </w:r>
      <w:r w:rsidRPr="002A3282">
        <w:rPr>
          <w:rFonts w:ascii="TH Niramit AS" w:hAnsi="TH Niramit AS" w:cs="TH Niramit AS"/>
          <w:b/>
          <w:bCs/>
          <w:sz w:val="32"/>
          <w:szCs w:val="32"/>
          <w:cs/>
        </w:rPr>
        <w:t>3. เกณฑ์การพิจารณาเลือกกระบวนการสนับสนุนที่สำคัญ</w:t>
      </w:r>
    </w:p>
    <w:p w:rsidR="00DC2C20" w:rsidRPr="002A3282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   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2A3282">
        <w:rPr>
          <w:rFonts w:ascii="TH Niramit AS" w:hAnsi="TH Niramit AS" w:cs="TH Niramit AS"/>
          <w:sz w:val="32"/>
          <w:szCs w:val="32"/>
          <w:cs/>
        </w:rPr>
        <w:t>3.1  เป็นกระบวนการที่ส่งผลต่อกระบวนการที่สร้างคุณค่า</w:t>
      </w:r>
    </w:p>
    <w:p w:rsidR="00DC2C20" w:rsidRPr="004512C3" w:rsidRDefault="00DC2C20" w:rsidP="00DC2C20">
      <w:pPr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2A3282">
        <w:rPr>
          <w:rFonts w:ascii="TH Niramit AS" w:hAnsi="TH Niramit AS" w:cs="TH Niramit AS"/>
          <w:sz w:val="32"/>
          <w:szCs w:val="32"/>
          <w:cs/>
        </w:rPr>
        <w:t xml:space="preserve">   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882917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4512C3">
        <w:rPr>
          <w:rFonts w:ascii="TH Niramit AS" w:hAnsi="TH Niramit AS" w:cs="TH Niramit AS"/>
          <w:sz w:val="32"/>
          <w:szCs w:val="32"/>
          <w:cs/>
        </w:rPr>
        <w:t xml:space="preserve">3.2 </w:t>
      </w:r>
      <w:r w:rsidRPr="004512C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512C3">
        <w:rPr>
          <w:rFonts w:ascii="TH Niramit AS" w:hAnsi="TH Niramit AS" w:cs="TH Niramit AS"/>
          <w:sz w:val="32"/>
          <w:szCs w:val="32"/>
          <w:cs/>
        </w:rPr>
        <w:t>เป็นกระบวนการที่ทำให้เกิดประสิทธิภาพการทำงานของกระบวนการที่สร้างคุณค่า</w:t>
      </w:r>
    </w:p>
    <w:p w:rsidR="00DC2C20" w:rsidRDefault="00DC2C20" w:rsidP="00DC2C20">
      <w:pPr>
        <w:spacing w:after="0" w:line="240" w:lineRule="auto"/>
        <w:ind w:firstLine="1440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DC2C20" w:rsidRPr="00DC2C20" w:rsidRDefault="00DC2C20"/>
    <w:sectPr w:rsidR="00DC2C20" w:rsidRPr="00DC2C20" w:rsidSect="00DC2C20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20"/>
    <w:rsid w:val="00C63E1A"/>
    <w:rsid w:val="00DC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2C20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2C20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2018-10-18T10:19:00Z</dcterms:created>
  <dcterms:modified xsi:type="dcterms:W3CDTF">2018-10-18T10:23:00Z</dcterms:modified>
</cp:coreProperties>
</file>